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989BB6">
      <w:pPr>
        <w:rPr>
          <w:rFonts w:hint="eastAsia" w:ascii="方正小标宋_GBK" w:hAnsi="方正小标宋_GBK" w:eastAsia="方正小标宋_GBK" w:cs="方正小标宋_GBK"/>
          <w:b/>
          <w:bCs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32"/>
          <w:szCs w:val="32"/>
        </w:rPr>
        <w:t>最高人民法院、中国证监会联合发布《关于严格公正执法</w:t>
      </w:r>
    </w:p>
    <w:p w14:paraId="6DA7F0B9">
      <w:pPr>
        <w:rPr>
          <w:rFonts w:hint="eastAsia" w:ascii="方正小标宋_GBK" w:hAnsi="方正小标宋_GBK" w:eastAsia="方正小标宋_GBK" w:cs="方正小标宋_GBK"/>
          <w:b/>
          <w:bCs/>
          <w:sz w:val="32"/>
          <w:szCs w:val="32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/>
          <w:bCs/>
          <w:sz w:val="32"/>
          <w:szCs w:val="32"/>
        </w:rPr>
        <w:t>司法服务保障资本市场高质量发展的指导意见》</w:t>
      </w:r>
    </w:p>
    <w:p w14:paraId="50002CC7">
      <w:pPr>
        <w:rPr>
          <w:rFonts w:hint="eastAsia" w:ascii="方正小标宋_GBK" w:hAnsi="方正小标宋_GBK" w:eastAsia="方正小标宋_GBK" w:cs="方正小标宋_GBK"/>
          <w:sz w:val="32"/>
          <w:szCs w:val="32"/>
        </w:rPr>
      </w:pPr>
    </w:p>
    <w:p w14:paraId="112B97DE"/>
    <w:p w14:paraId="10A69641"/>
    <w:p w14:paraId="2DBA2F5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http://www.csrc.gov.cn/csrc/c100028/c7557837/content.shtml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7E0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2025-05-19T00:48:56Z</dcterms:created>
  <dc:creator>HBIS</dc:creator>
  <cp:lastModifiedBy>梁柯英</cp:lastModifiedBy>
  <dcterms:modified xsi:type="dcterms:W3CDTF">2025-05-19T00:51:29Z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eyJoZGlkIjoiNWYyMGJhYjFjZjhjNGQyMjEzYzNhYWZiNWY5NTIwMzUiLCJ1c2VySWQiOiIxNjg2NzUxMTcyIn0=</vt:lpwstr>
  </property>
  <property fmtid="{D5CDD505-2E9C-101B-9397-08002B2CF9AE}" pid="4" name="ICV">
    <vt:lpwstr>53D2FFB43C064B5FB298DB1EE8C5E8DE_12</vt:lpwstr>
  </property>
</Properties>
</file>