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FFEFD3"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  <w:t>依法从严执法 护航资本市场高质量发展</w:t>
      </w:r>
    </w:p>
    <w:p w14:paraId="32AEE3DE">
      <w:pPr>
        <w:jc w:val="right"/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  <w:t>——2024年中国证监会执法情况综述</w:t>
      </w:r>
    </w:p>
    <w:bookmarkEnd w:id="0"/>
    <w:p w14:paraId="0820E561"/>
    <w:p w14:paraId="75A4C658"/>
    <w:p w14:paraId="1A6F105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http://www.csrc.gov.cn/csrc/c100028/c7557781/content.shtml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F73F55"/>
    <w:rsid w:val="362154AE"/>
    <w:rsid w:val="4638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</Words>
  <Characters>93</Characters>
  <Lines>0</Lines>
  <Paragraphs>0</Paragraphs>
  <TotalTime>1</TotalTime>
  <ScaleCrop>false</ScaleCrop>
  <LinksUpToDate>false</LinksUpToDate>
  <CharactersWithSpaces>94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2025-05-19T00:45:00Z</dcterms:created>
  <dc:creator>HBIS</dc:creator>
  <cp:lastModifiedBy>梁柯英</cp:lastModifiedBy>
  <dcterms:modified xsi:type="dcterms:W3CDTF">2025-05-19T00:50:53Z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eyJoZGlkIjoiNWYyMGJhYjFjZjhjNGQyMjEzYzNhYWZiNWY5NTIwMzUiLCJ1c2VySWQiOiIxNjg2NzUxMTcyIn0=</vt:lpwstr>
  </property>
  <property fmtid="{D5CDD505-2E9C-101B-9397-08002B2CF9AE}" pid="4" name="ICV">
    <vt:lpwstr>7757B978F668496D82F97069C43DA90F_12</vt:lpwstr>
  </property>
</Properties>
</file>